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4822"/>
        <w:gridCol w:w="1082"/>
        <w:gridCol w:w="1818"/>
        <w:gridCol w:w="1157"/>
        <w:gridCol w:w="2218"/>
        <w:gridCol w:w="1378"/>
        <w:gridCol w:w="2975"/>
      </w:tblGrid>
      <w:tr w:rsidR="00534CAD" w:rsidTr="00534CAD">
        <w:trPr>
          <w:trHeight w:val="374"/>
        </w:trPr>
        <w:tc>
          <w:tcPr>
            <w:tcW w:w="4820" w:type="dxa"/>
            <w:vAlign w:val="bottom"/>
            <w:hideMark/>
          </w:tcPr>
          <w:p w:rsidR="00534CAD" w:rsidRDefault="0053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Osnovna škola Obrovac</w:t>
            </w:r>
          </w:p>
          <w:p w:rsidR="00534CAD" w:rsidRDefault="0053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Bana Josipa Jelačića</w:t>
            </w:r>
          </w:p>
          <w:p w:rsidR="00534CAD" w:rsidRDefault="0053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23450 Obrovac</w:t>
            </w:r>
          </w:p>
          <w:p w:rsidR="00534CAD" w:rsidRDefault="0053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 82708194970</w:t>
            </w:r>
          </w:p>
        </w:tc>
        <w:tc>
          <w:tcPr>
            <w:tcW w:w="1082" w:type="dxa"/>
            <w:noWrap/>
            <w:vAlign w:val="center"/>
            <w:hideMark/>
          </w:tcPr>
          <w:p w:rsidR="00534CAD" w:rsidRDefault="00534C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18" w:type="dxa"/>
            <w:noWrap/>
            <w:vAlign w:val="bottom"/>
            <w:hideMark/>
          </w:tcPr>
          <w:p w:rsidR="00534CAD" w:rsidRDefault="00534CAD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57" w:type="dxa"/>
            <w:noWrap/>
            <w:vAlign w:val="bottom"/>
            <w:hideMark/>
          </w:tcPr>
          <w:p w:rsidR="00534CAD" w:rsidRDefault="00534CAD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18" w:type="dxa"/>
            <w:noWrap/>
            <w:vAlign w:val="bottom"/>
            <w:hideMark/>
          </w:tcPr>
          <w:p w:rsidR="00534CAD" w:rsidRDefault="00534CAD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534CAD" w:rsidRDefault="00534CAD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975" w:type="dxa"/>
            <w:noWrap/>
            <w:vAlign w:val="bottom"/>
            <w:hideMark/>
          </w:tcPr>
          <w:p w:rsidR="00534CAD" w:rsidRDefault="00534CAD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534CAD" w:rsidRDefault="00534CAD" w:rsidP="00534CAD">
      <w:pPr>
        <w:tabs>
          <w:tab w:val="left" w:pos="1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UZ IZVRŠENJE FINANCIJSKOG PLANA</w:t>
      </w:r>
    </w:p>
    <w:p w:rsidR="00534CAD" w:rsidRDefault="00534CAD" w:rsidP="00534CAD">
      <w:pPr>
        <w:tabs>
          <w:tab w:val="left" w:pos="1260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razdoblje od 0</w:t>
      </w:r>
      <w:r w:rsidR="001043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siječnja do 31. prosinca 2025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</w:p>
    <w:p w:rsidR="00534CAD" w:rsidRDefault="00534CAD" w:rsidP="00534C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34CAD" w:rsidRDefault="00534CAD" w:rsidP="00534C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CAD" w:rsidRDefault="00534CAD" w:rsidP="00534C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UVOD- sažetak djelokruga rada škole</w:t>
      </w:r>
    </w:p>
    <w:p w:rsidR="00534CAD" w:rsidRDefault="00534CAD" w:rsidP="00534CAD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34CAD" w:rsidRDefault="00534CAD" w:rsidP="00534CA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Obrovac, u daljnjem tekstu Škola, je ustanova koja pruža osnovnoškolsko obrazovanje učenika od 1. do 8. razreda, u skladu s nastavnim planom i programom koje je donijelo Ministarstvo znanosti i obrazovanja, prema Godišnjem planu i programu te Školskom kurikulumu. Nastava je organizirana u jednoj smjeni (prijepodnevna)  kroz petodnevni radni tjedan, a odvija se u redovnom, izbornom, dodatnom i dopunskom obliku.</w:t>
      </w:r>
    </w:p>
    <w:p w:rsidR="00534CAD" w:rsidRDefault="00534CAD" w:rsidP="00534CA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CAD" w:rsidRDefault="00534CAD" w:rsidP="00534C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CAD" w:rsidRDefault="00534CAD" w:rsidP="00534C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IZVJEŠTAJA O IZVRŠENJU FINANCIJSKOG PLANA PRORAČUNSKOG KORISNIKA</w:t>
      </w:r>
    </w:p>
    <w:p w:rsidR="00534CAD" w:rsidRDefault="00534CAD" w:rsidP="00534C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izvještaja o izvršenju financijskog plana proračunskog korisnika sadrži:</w:t>
      </w:r>
    </w:p>
    <w:p w:rsidR="00534CAD" w:rsidRDefault="00534CAD" w:rsidP="00534CA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ostvarenja prihoda i rashoda</w:t>
      </w:r>
    </w:p>
    <w:p w:rsidR="00534CAD" w:rsidRDefault="00104390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 je u 2025</w:t>
      </w:r>
      <w:r w:rsidR="00534CAD">
        <w:rPr>
          <w:rFonts w:ascii="Times New Roman" w:hAnsi="Times New Roman" w:cs="Times New Roman"/>
          <w:sz w:val="24"/>
          <w:szCs w:val="24"/>
        </w:rPr>
        <w:t>. godini ost</w:t>
      </w:r>
      <w:r>
        <w:rPr>
          <w:rFonts w:ascii="Times New Roman" w:hAnsi="Times New Roman" w:cs="Times New Roman"/>
          <w:sz w:val="24"/>
          <w:szCs w:val="24"/>
        </w:rPr>
        <w:t>varila prihode u visini od 1 879 456,27</w:t>
      </w:r>
      <w:r w:rsidR="00534CAD">
        <w:rPr>
          <w:rFonts w:ascii="Times New Roman" w:hAnsi="Times New Roman" w:cs="Times New Roman"/>
          <w:sz w:val="24"/>
          <w:szCs w:val="24"/>
        </w:rPr>
        <w:t xml:space="preserve"> eura prema godišnjem izvještaju o izvršenju fi</w:t>
      </w:r>
      <w:r>
        <w:rPr>
          <w:rFonts w:ascii="Times New Roman" w:hAnsi="Times New Roman" w:cs="Times New Roman"/>
          <w:sz w:val="24"/>
          <w:szCs w:val="24"/>
        </w:rPr>
        <w:t>nancijskog plana što je za 3 % više u odnosu na 2024</w:t>
      </w:r>
      <w:r w:rsidR="00534CAD">
        <w:rPr>
          <w:rFonts w:ascii="Times New Roman" w:hAnsi="Times New Roman" w:cs="Times New Roman"/>
          <w:sz w:val="24"/>
          <w:szCs w:val="24"/>
        </w:rPr>
        <w:t>. godinu. U promatr</w:t>
      </w:r>
      <w:r w:rsidR="004420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nom razdoblju ostvareno je 2 005 895,76 eur</w:t>
      </w:r>
      <w:r w:rsidR="00534CAD">
        <w:rPr>
          <w:rFonts w:ascii="Times New Roman" w:hAnsi="Times New Roman" w:cs="Times New Roman"/>
          <w:sz w:val="24"/>
          <w:szCs w:val="24"/>
        </w:rPr>
        <w:t xml:space="preserve"> rashoda; od toga </w:t>
      </w:r>
      <w:r>
        <w:rPr>
          <w:rFonts w:ascii="Times New Roman" w:hAnsi="Times New Roman" w:cs="Times New Roman"/>
          <w:sz w:val="24"/>
          <w:szCs w:val="24"/>
        </w:rPr>
        <w:t>1 406 239,86</w:t>
      </w:r>
      <w:r w:rsidR="004420C5">
        <w:rPr>
          <w:rFonts w:ascii="Times New Roman" w:hAnsi="Times New Roman" w:cs="Times New Roman"/>
          <w:sz w:val="24"/>
          <w:szCs w:val="24"/>
        </w:rPr>
        <w:t xml:space="preserve"> </w:t>
      </w:r>
      <w:r w:rsidR="00EA3524">
        <w:rPr>
          <w:rFonts w:ascii="Times New Roman" w:hAnsi="Times New Roman" w:cs="Times New Roman"/>
          <w:sz w:val="24"/>
          <w:szCs w:val="24"/>
        </w:rPr>
        <w:t>eur rashoda za zapo</w:t>
      </w:r>
      <w:r>
        <w:rPr>
          <w:rFonts w:ascii="Times New Roman" w:hAnsi="Times New Roman" w:cs="Times New Roman"/>
          <w:sz w:val="24"/>
          <w:szCs w:val="24"/>
        </w:rPr>
        <w:t>slene</w:t>
      </w:r>
      <w:r w:rsidR="00534CAD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10 805,59 eur</w:t>
      </w:r>
      <w:r w:rsidR="00534CAD">
        <w:rPr>
          <w:rFonts w:ascii="Times New Roman" w:hAnsi="Times New Roman" w:cs="Times New Roman"/>
          <w:sz w:val="24"/>
          <w:szCs w:val="24"/>
        </w:rPr>
        <w:t xml:space="preserve"> rashoda za nabavu nefinancijske imovine. Promatrajući rashode ukupn</w:t>
      </w:r>
      <w:r>
        <w:rPr>
          <w:rFonts w:ascii="Times New Roman" w:hAnsi="Times New Roman" w:cs="Times New Roman"/>
          <w:sz w:val="24"/>
          <w:szCs w:val="24"/>
        </w:rPr>
        <w:t>o je ostvareno 10</w:t>
      </w:r>
      <w:r w:rsidR="00534CAD">
        <w:rPr>
          <w:rFonts w:ascii="Times New Roman" w:hAnsi="Times New Roman" w:cs="Times New Roman"/>
          <w:sz w:val="24"/>
          <w:szCs w:val="24"/>
        </w:rPr>
        <w:t>% više rashoda u odnosu na promatrano razdo</w:t>
      </w:r>
      <w:r>
        <w:rPr>
          <w:rFonts w:ascii="Times New Roman" w:hAnsi="Times New Roman" w:cs="Times New Roman"/>
          <w:sz w:val="24"/>
          <w:szCs w:val="24"/>
        </w:rPr>
        <w:t>blje prošle godine. Tijekom 2025</w:t>
      </w:r>
      <w:r w:rsidR="00534CAD">
        <w:rPr>
          <w:rFonts w:ascii="Times New Roman" w:hAnsi="Times New Roman" w:cs="Times New Roman"/>
          <w:sz w:val="24"/>
          <w:szCs w:val="24"/>
        </w:rPr>
        <w:t xml:space="preserve">. godine najviše prihoda i rashoda ostvareno je iz državnog proračuna kao izvora financiranja. Najveći udio u sredstvima državnog proračuna imaju plaće zaposlenika i ostala materijalna prava koja im proizlaze iz radnog odnosa. </w:t>
      </w:r>
    </w:p>
    <w:p w:rsidR="00104390" w:rsidRDefault="00104390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390" w:rsidRDefault="00104390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390" w:rsidRDefault="00104390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 POSEBNOG DIJELA IZVJEŠTAJA O IZVRŠENJU FINANCIJSKOG PLANA PRORAČUNSKOG KORISNIKA</w:t>
      </w: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godišnjeg izvještaja o izvr</w:t>
      </w:r>
      <w:r w:rsidR="004420C5">
        <w:rPr>
          <w:rFonts w:ascii="Times New Roman" w:hAnsi="Times New Roman" w:cs="Times New Roman"/>
          <w:sz w:val="24"/>
          <w:szCs w:val="24"/>
        </w:rPr>
        <w:t>šenju financijskog plana za 202</w:t>
      </w:r>
      <w:r w:rsidR="001043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godinu, odnosno izvještaj po programskoj klasifikaciji te izvorima prikazuje podatke o visini sredstava utvrđenih izvornim planom odnosno rebalansom s obzirom na to da je tijekom godine došlo do izmjena i dopuna proračuna, sredstvima tekućeg plana kao i ostvarenja odnosno izvršenja za razdob</w:t>
      </w:r>
      <w:r w:rsidR="00104390">
        <w:rPr>
          <w:rFonts w:ascii="Times New Roman" w:hAnsi="Times New Roman" w:cs="Times New Roman"/>
          <w:sz w:val="24"/>
          <w:szCs w:val="24"/>
        </w:rPr>
        <w:t>lje od siječnja do prosinca 2025</w:t>
      </w:r>
      <w:r>
        <w:rPr>
          <w:rFonts w:ascii="Times New Roman" w:hAnsi="Times New Roman" w:cs="Times New Roman"/>
          <w:sz w:val="24"/>
          <w:szCs w:val="24"/>
        </w:rPr>
        <w:t>. godine. Obrazloženje posebnog dijela sadrži obrazloženje izvršenja programa koji se daje kroz obrazloženje izvršenja aktivnosti i projekata zajedno s ciljevima koji su ostvareni provedbom programa i pokazateljima uspješnosti realizacije tih istih ciljeva koji se sastoje od pokazatelja učinka i pokazatelja rezultata.</w:t>
      </w:r>
    </w:p>
    <w:p w:rsidR="00534CAD" w:rsidRDefault="00534CAD" w:rsidP="0053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Gledajući posebni dio izvještaja vidljivo je kako je izvršenje financijskog plana prikazano prema djelatnosti, programima, aktivnostima, projektima i izvorima financiranja. Svaki program i aktivnost za svoju glavnu svrhu ima podizanje kvalitete poslovanja Škole. Od svih navedenih programa i aktivnosti valja istaknuti n</w:t>
      </w:r>
      <w:r w:rsidR="00104390">
        <w:rPr>
          <w:rFonts w:ascii="Times New Roman" w:hAnsi="Times New Roman" w:cs="Times New Roman"/>
          <w:sz w:val="24"/>
          <w:szCs w:val="24"/>
        </w:rPr>
        <w:t>ekoliko značajnih u 2025</w:t>
      </w:r>
      <w:r>
        <w:rPr>
          <w:rFonts w:ascii="Times New Roman" w:hAnsi="Times New Roman" w:cs="Times New Roman"/>
          <w:sz w:val="24"/>
          <w:szCs w:val="24"/>
        </w:rPr>
        <w:t>. godini: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Prehrana za učenike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dodatnog ulaganja u obrazovni sustav, financiran iz sredstva državnog proračuna kojim se osigurao besplatan obrok za svakog učenika. U našoj Školi u promatranom </w:t>
      </w:r>
      <w:r w:rsidR="00104390">
        <w:rPr>
          <w:rFonts w:ascii="Times New Roman" w:hAnsi="Times New Roman" w:cs="Times New Roman"/>
          <w:sz w:val="24"/>
          <w:szCs w:val="24"/>
        </w:rPr>
        <w:t>razdoblju ostvareno je 31 724,95 eur</w:t>
      </w:r>
      <w:r>
        <w:rPr>
          <w:rFonts w:ascii="Times New Roman" w:hAnsi="Times New Roman" w:cs="Times New Roman"/>
          <w:sz w:val="24"/>
          <w:szCs w:val="24"/>
        </w:rPr>
        <w:t xml:space="preserve"> prihoda kojim se financirao trošak obroka za svakog učenika tijekom svakog dana nastave. 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Javne potrebe u prosvjeti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 i aktivnosti usmjereni ka podizanju kvalitete i standarda osnovnoškolskog obrazovanja. Financirani su sredstvima županijskog proračuna u iznosu od </w:t>
      </w:r>
      <w:r w:rsidR="00104390">
        <w:rPr>
          <w:rFonts w:ascii="Times New Roman" w:hAnsi="Times New Roman" w:cs="Times New Roman"/>
          <w:sz w:val="24"/>
          <w:szCs w:val="24"/>
        </w:rPr>
        <w:t>1 300,00 eur</w:t>
      </w:r>
      <w:r>
        <w:rPr>
          <w:rFonts w:ascii="Times New Roman" w:hAnsi="Times New Roman" w:cs="Times New Roman"/>
          <w:sz w:val="24"/>
          <w:szCs w:val="24"/>
        </w:rPr>
        <w:t>, u potpunosti u skladu s financijskim plano</w:t>
      </w:r>
      <w:r w:rsidR="00F1346D">
        <w:rPr>
          <w:rFonts w:ascii="Times New Roman" w:hAnsi="Times New Roman" w:cs="Times New Roman"/>
          <w:sz w:val="24"/>
          <w:szCs w:val="24"/>
        </w:rPr>
        <w:t xml:space="preserve">m. Sredstva su raspoređena u četiri različite  kategorije, a to su: </w:t>
      </w:r>
      <w:r>
        <w:rPr>
          <w:rFonts w:ascii="Times New Roman" w:hAnsi="Times New Roman" w:cs="Times New Roman"/>
          <w:i/>
          <w:iCs/>
          <w:sz w:val="24"/>
          <w:szCs w:val="24"/>
        </w:rPr>
        <w:t>Škole za Afriku, učenička za</w:t>
      </w:r>
      <w:r w:rsidR="00104390">
        <w:rPr>
          <w:rFonts w:ascii="Times New Roman" w:hAnsi="Times New Roman" w:cs="Times New Roman"/>
          <w:i/>
          <w:iCs/>
          <w:sz w:val="24"/>
          <w:szCs w:val="24"/>
        </w:rPr>
        <w:t xml:space="preserve">druga ''Bura'', </w:t>
      </w:r>
      <w:r w:rsidR="00F1346D">
        <w:rPr>
          <w:rFonts w:ascii="Times New Roman" w:hAnsi="Times New Roman" w:cs="Times New Roman"/>
          <w:i/>
          <w:iCs/>
          <w:sz w:val="24"/>
          <w:szCs w:val="24"/>
        </w:rPr>
        <w:t>graditeljstvo-izrada maketa,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46D">
        <w:rPr>
          <w:rFonts w:ascii="Times New Roman" w:hAnsi="Times New Roman" w:cs="Times New Roman"/>
          <w:i/>
          <w:sz w:val="24"/>
          <w:szCs w:val="24"/>
        </w:rPr>
        <w:t>NTC-učenje kroz igru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4CAD" w:rsidRDefault="00F1346D" w:rsidP="00534CA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Projektna dokumentacija</w:t>
      </w:r>
    </w:p>
    <w:p w:rsidR="00534CAD" w:rsidRDefault="00F1346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projektne dokumentacije za projekte Oš u iznosu od 1000,00 eur . Dokumentacija se odnosi na dvoranu vezano za sanaciju krova zbog prokišnjavanja . </w:t>
      </w:r>
    </w:p>
    <w:p w:rsidR="00534CAD" w:rsidRDefault="00534CAD" w:rsidP="00534C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CFD">
        <w:rPr>
          <w:rFonts w:ascii="Times New Roman" w:hAnsi="Times New Roman" w:cs="Times New Roman"/>
          <w:sz w:val="24"/>
          <w:szCs w:val="24"/>
        </w:rPr>
        <w:t>Obrovac, 26.03</w:t>
      </w:r>
      <w:bookmarkStart w:id="0" w:name="_GoBack"/>
      <w:bookmarkEnd w:id="0"/>
      <w:r w:rsidR="00F1346D">
        <w:rPr>
          <w:rFonts w:ascii="Times New Roman" w:hAnsi="Times New Roman" w:cs="Times New Roman"/>
          <w:sz w:val="24"/>
          <w:szCs w:val="24"/>
        </w:rPr>
        <w:t>.2026</w:t>
      </w:r>
    </w:p>
    <w:p w:rsidR="00534CAD" w:rsidRDefault="00534CAD" w:rsidP="00534CAD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CAD" w:rsidRDefault="00534CAD" w:rsidP="00534CAD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Voditeljica računovodstva: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534CAD" w:rsidRDefault="00534CAD" w:rsidP="00534CAD">
      <w:pPr>
        <w:suppressAutoHyphens/>
        <w:autoSpaceDN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34CAD" w:rsidRDefault="00534CAD" w:rsidP="00534CAD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Natalija Perica, bacc.oec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Željko Modrić, prof.</w:t>
      </w:r>
    </w:p>
    <w:p w:rsidR="00534CAD" w:rsidRDefault="00534CAD" w:rsidP="00534CAD"/>
    <w:p w:rsidR="001D0839" w:rsidRDefault="001D0839"/>
    <w:sectPr w:rsidR="001D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07766"/>
    <w:multiLevelType w:val="hybridMultilevel"/>
    <w:tmpl w:val="33966DA4"/>
    <w:lvl w:ilvl="0" w:tplc="EED02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AD"/>
    <w:rsid w:val="000A5CFD"/>
    <w:rsid w:val="00104390"/>
    <w:rsid w:val="001D0839"/>
    <w:rsid w:val="004420C5"/>
    <w:rsid w:val="00534CAD"/>
    <w:rsid w:val="008E1C53"/>
    <w:rsid w:val="00E023C5"/>
    <w:rsid w:val="00EA3524"/>
    <w:rsid w:val="00F1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48B7F-EE95-40F4-90EB-7480C75C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CA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CAD"/>
    <w:pPr>
      <w:spacing w:line="254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2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2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9</cp:revision>
  <cp:lastPrinted>2026-02-25T09:15:00Z</cp:lastPrinted>
  <dcterms:created xsi:type="dcterms:W3CDTF">2025-03-28T09:17:00Z</dcterms:created>
  <dcterms:modified xsi:type="dcterms:W3CDTF">2026-03-30T08:09:00Z</dcterms:modified>
</cp:coreProperties>
</file>