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4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818"/>
        <w:gridCol w:w="1082"/>
        <w:gridCol w:w="1818"/>
        <w:gridCol w:w="1157"/>
        <w:gridCol w:w="2217"/>
        <w:gridCol w:w="1378"/>
        <w:gridCol w:w="2974"/>
      </w:tblGrid>
      <w:tr w:rsidR="00AD2FC0" w:rsidRPr="00AD2FC0" w:rsidTr="00D360FD">
        <w:trPr>
          <w:trHeight w:val="374"/>
        </w:trPr>
        <w:tc>
          <w:tcPr>
            <w:tcW w:w="4820" w:type="dxa"/>
            <w:vAlign w:val="bottom"/>
            <w:hideMark/>
          </w:tcPr>
          <w:p w:rsidR="00D360FD" w:rsidRPr="00AD2FC0" w:rsidRDefault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Obrovac</w:t>
            </w:r>
          </w:p>
          <w:p w:rsidR="00D360FD" w:rsidRPr="00AD2FC0" w:rsidRDefault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Bana Josipa Jelačića</w:t>
            </w:r>
          </w:p>
          <w:p w:rsidR="00D360FD" w:rsidRPr="00AD2FC0" w:rsidRDefault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23450 Obrovac</w:t>
            </w:r>
          </w:p>
          <w:p w:rsidR="00D360FD" w:rsidRPr="00AD2FC0" w:rsidRDefault="00D360FD" w:rsidP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OIB 82708194970</w:t>
            </w:r>
          </w:p>
        </w:tc>
        <w:tc>
          <w:tcPr>
            <w:tcW w:w="1082" w:type="dxa"/>
            <w:noWrap/>
            <w:vAlign w:val="center"/>
            <w:hideMark/>
          </w:tcPr>
          <w:p w:rsidR="00D360FD" w:rsidRPr="00AD2FC0" w:rsidRDefault="00D360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18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8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75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360FD" w:rsidRDefault="00E329B9" w:rsidP="00E329B9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KLASA: 007-04/25-02/8</w:t>
      </w:r>
    </w:p>
    <w:p w:rsidR="00E329B9" w:rsidRDefault="00E329B9" w:rsidP="00E329B9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URBROJ: 2198-1-30-25-5</w:t>
      </w:r>
    </w:p>
    <w:p w:rsidR="00E329B9" w:rsidRDefault="00E329B9" w:rsidP="00E329B9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Obrovac, 15.07.2025.</w:t>
      </w:r>
    </w:p>
    <w:p w:rsidR="00E329B9" w:rsidRPr="00AD2FC0" w:rsidRDefault="00E329B9" w:rsidP="00E329B9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F27DFF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UZ IZVRŠENJE FINANCIJSKOG PLANA</w:t>
      </w: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</w:t>
      </w:r>
      <w:r w:rsidR="00EE5CBB"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razdoblje od 01. siječnja do 30. lipnja</w:t>
      </w:r>
      <w:r w:rsidR="007441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D36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UVOD- sažetak djelokruga rada škole</w:t>
      </w:r>
    </w:p>
    <w:p w:rsidR="00D360FD" w:rsidRPr="00AD2FC0" w:rsidRDefault="00D360FD" w:rsidP="00D360FD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360A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Obrovac, u daljnjem tekstu Škola, je ustanova koja pruža osnovnoškolsko obrazovanje učenika od 1. do 8. razreda, u skladu s nastavnim planom i programom koje je</w:t>
      </w:r>
      <w:r w:rsid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Ministarstvo znanosti, obrazovanja i mladih </w:t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Godišnjem planu i programu te Školskom kurikulumu. Nastava je organizirana u jednoj smjeni (prijepodnevna)  kroz petodnevni radni tjedan, a odvija se u redovnom, izbornom, dodatnom i dopunskom obliku.</w:t>
      </w:r>
    </w:p>
    <w:p w:rsidR="00D360FD" w:rsidRPr="00AD2FC0" w:rsidRDefault="00D360FD" w:rsidP="00D360F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60FD" w:rsidRPr="00AD2FC0" w:rsidRDefault="00D360FD" w:rsidP="0036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FD" w:rsidRPr="00AD2FC0" w:rsidRDefault="00D360FD" w:rsidP="0036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 PRORAČUNSKOG KORISNIKA</w:t>
      </w:r>
    </w:p>
    <w:p w:rsidR="00360A69" w:rsidRPr="00AD2FC0" w:rsidRDefault="00360A69" w:rsidP="00360A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FD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Obrazloženje općeg dijela izvještaja o izvršenju financijskog plana proračunskog korisnika sadrži:</w:t>
      </w:r>
    </w:p>
    <w:p w:rsidR="00D360FD" w:rsidRPr="00AD2FC0" w:rsidRDefault="00D360FD" w:rsidP="00360A6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obrazloženje ostvarenja prihoda i rashoda</w:t>
      </w:r>
    </w:p>
    <w:p w:rsidR="00360A69" w:rsidRDefault="00D369ED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 je u 2024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. godini ostvarila </w:t>
      </w:r>
      <w:r>
        <w:rPr>
          <w:rFonts w:ascii="Times New Roman" w:hAnsi="Times New Roman" w:cs="Times New Roman"/>
          <w:sz w:val="24"/>
          <w:szCs w:val="24"/>
        </w:rPr>
        <w:t xml:space="preserve">prihode u visini od 944 896,49 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eura prema godišnjem izvještaju o izvršenju financijskog plana što je za </w:t>
      </w:r>
      <w:r>
        <w:rPr>
          <w:rFonts w:ascii="Times New Roman" w:hAnsi="Times New Roman" w:cs="Times New Roman"/>
          <w:sz w:val="24"/>
          <w:szCs w:val="24"/>
        </w:rPr>
        <w:t>10,30% manje u odnosu na tekući plan 2025.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 godine. </w:t>
      </w:r>
      <w:r>
        <w:rPr>
          <w:rFonts w:ascii="Times New Roman" w:hAnsi="Times New Roman" w:cs="Times New Roman"/>
          <w:sz w:val="24"/>
          <w:szCs w:val="24"/>
        </w:rPr>
        <w:t>Uspoređujući ukupne prihode 2025. i 2024</w:t>
      </w:r>
      <w:r w:rsidR="00D360FD" w:rsidRPr="00AD2FC0">
        <w:rPr>
          <w:rFonts w:ascii="Times New Roman" w:hAnsi="Times New Roman" w:cs="Times New Roman"/>
          <w:sz w:val="24"/>
          <w:szCs w:val="24"/>
        </w:rPr>
        <w:t>. godine</w:t>
      </w:r>
      <w:r w:rsidR="00360A69" w:rsidRPr="00AD2FC0">
        <w:rPr>
          <w:rFonts w:ascii="Times New Roman" w:hAnsi="Times New Roman" w:cs="Times New Roman"/>
          <w:sz w:val="24"/>
          <w:szCs w:val="24"/>
        </w:rPr>
        <w:t>,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 Škola je ostvarila </w:t>
      </w:r>
      <w:r>
        <w:rPr>
          <w:rFonts w:ascii="Times New Roman" w:hAnsi="Times New Roman" w:cs="Times New Roman"/>
          <w:sz w:val="24"/>
          <w:szCs w:val="24"/>
        </w:rPr>
        <w:t>10,30</w:t>
      </w:r>
      <w:r w:rsidR="00D360FD" w:rsidRPr="00AD2FC0">
        <w:rPr>
          <w:rFonts w:ascii="Times New Roman" w:hAnsi="Times New Roman" w:cs="Times New Roman"/>
          <w:sz w:val="24"/>
          <w:szCs w:val="24"/>
        </w:rPr>
        <w:t>% više prihoda u godini za koju se podnosi izvještaj u odnosu na prethodnu. U promatranom r</w:t>
      </w:r>
      <w:r w:rsidR="004F4860" w:rsidRPr="00AD2FC0">
        <w:rPr>
          <w:rFonts w:ascii="Times New Roman" w:hAnsi="Times New Roman" w:cs="Times New Roman"/>
          <w:sz w:val="24"/>
          <w:szCs w:val="24"/>
        </w:rPr>
        <w:t>azdoblju ostvareno</w:t>
      </w:r>
      <w:r w:rsidR="00EE5CBB" w:rsidRPr="00AD2FC0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1 080  317,03 </w:t>
      </w:r>
      <w:r w:rsidR="00AD2FC0">
        <w:rPr>
          <w:rFonts w:ascii="Times New Roman" w:hAnsi="Times New Roman" w:cs="Times New Roman"/>
          <w:sz w:val="24"/>
          <w:szCs w:val="24"/>
        </w:rPr>
        <w:t>eura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 rashoda; od toga </w:t>
      </w:r>
      <w:r>
        <w:rPr>
          <w:rFonts w:ascii="Times New Roman" w:hAnsi="Times New Roman" w:cs="Times New Roman"/>
          <w:sz w:val="24"/>
          <w:szCs w:val="24"/>
        </w:rPr>
        <w:t>624 566,32</w:t>
      </w:r>
      <w:r w:rsidR="00AD2FC0">
        <w:rPr>
          <w:rFonts w:ascii="Times New Roman" w:hAnsi="Times New Roman" w:cs="Times New Roman"/>
          <w:sz w:val="24"/>
          <w:szCs w:val="24"/>
        </w:rPr>
        <w:t>eura</w:t>
      </w:r>
      <w:r w:rsidR="00EE5CBB" w:rsidRPr="00AD2FC0">
        <w:rPr>
          <w:rFonts w:ascii="Times New Roman" w:hAnsi="Times New Roman" w:cs="Times New Roman"/>
          <w:sz w:val="24"/>
          <w:szCs w:val="24"/>
        </w:rPr>
        <w:t xml:space="preserve"> za plaće</w:t>
      </w:r>
      <w:r w:rsidR="00D360FD" w:rsidRPr="00AD2F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Tijekom 2025</w:t>
      </w:r>
      <w:r w:rsidR="00D360FD" w:rsidRPr="00AD2FC0">
        <w:rPr>
          <w:rFonts w:ascii="Times New Roman" w:hAnsi="Times New Roman" w:cs="Times New Roman"/>
          <w:sz w:val="24"/>
          <w:szCs w:val="24"/>
        </w:rPr>
        <w:t>. godine najviše prihoda i rashoda ostvareno je iz državnog pr</w:t>
      </w:r>
      <w:r w:rsidR="00EE5CBB" w:rsidRPr="00AD2FC0">
        <w:rPr>
          <w:rFonts w:ascii="Times New Roman" w:hAnsi="Times New Roman" w:cs="Times New Roman"/>
          <w:sz w:val="24"/>
          <w:szCs w:val="24"/>
        </w:rPr>
        <w:t>oračuna kao izvora financiran</w:t>
      </w:r>
      <w:r>
        <w:rPr>
          <w:rFonts w:ascii="Times New Roman" w:hAnsi="Times New Roman" w:cs="Times New Roman"/>
          <w:sz w:val="24"/>
          <w:szCs w:val="24"/>
        </w:rPr>
        <w:t>ja, zbog povećanja proračunske osnovice za 3%</w:t>
      </w:r>
      <w:r w:rsidR="00EE5CBB" w:rsidRPr="00AD2FC0">
        <w:rPr>
          <w:rFonts w:ascii="Times New Roman" w:hAnsi="Times New Roman" w:cs="Times New Roman"/>
          <w:sz w:val="24"/>
          <w:szCs w:val="24"/>
        </w:rPr>
        <w:t>.</w:t>
      </w:r>
      <w:r w:rsidR="00CE3302">
        <w:rPr>
          <w:rFonts w:ascii="Times New Roman" w:hAnsi="Times New Roman" w:cs="Times New Roman"/>
          <w:sz w:val="24"/>
          <w:szCs w:val="24"/>
        </w:rPr>
        <w:t>.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 Najveći udio u sredstvima državnog proračuna imaju plaće zaposlenika i ostala materijalna prava koja im proizlaze iz radnog odnosa. </w:t>
      </w:r>
    </w:p>
    <w:p w:rsidR="00F26D76" w:rsidRDefault="00F26D76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76" w:rsidRDefault="00F26D76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D76" w:rsidRPr="00AD2FC0" w:rsidRDefault="00F26D76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0A69" w:rsidRPr="00AD2FC0" w:rsidRDefault="00360A69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</w:rPr>
        <w:lastRenderedPageBreak/>
        <w:t>OBRAZLOŽENJE POSEBNOG DIJELA IZVJEŠTAJA O IZVRŠENJU FINANCIJSKOG PLANA PRORAČUNSKOG KORISNIKA</w:t>
      </w:r>
    </w:p>
    <w:p w:rsidR="00360A69" w:rsidRPr="00AD2FC0" w:rsidRDefault="00360A69" w:rsidP="00360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Posebni dio godišnjeg izvještaja o izvr</w:t>
      </w:r>
      <w:r w:rsidR="00D369ED">
        <w:rPr>
          <w:rFonts w:ascii="Times New Roman" w:hAnsi="Times New Roman" w:cs="Times New Roman"/>
          <w:sz w:val="24"/>
          <w:szCs w:val="24"/>
        </w:rPr>
        <w:t>šenju financijskog plana za 2025</w:t>
      </w:r>
      <w:r w:rsidRPr="00AD2FC0">
        <w:rPr>
          <w:rFonts w:ascii="Times New Roman" w:hAnsi="Times New Roman" w:cs="Times New Roman"/>
          <w:sz w:val="24"/>
          <w:szCs w:val="24"/>
        </w:rPr>
        <w:t>. godinu, odnosno izvješt</w:t>
      </w:r>
      <w:r w:rsidR="00AD2FC0">
        <w:rPr>
          <w:rFonts w:ascii="Times New Roman" w:hAnsi="Times New Roman" w:cs="Times New Roman"/>
          <w:sz w:val="24"/>
          <w:szCs w:val="24"/>
        </w:rPr>
        <w:t xml:space="preserve">aj po programskoj klasifikaciji, </w:t>
      </w:r>
      <w:r w:rsidRPr="00AD2FC0">
        <w:rPr>
          <w:rFonts w:ascii="Times New Roman" w:hAnsi="Times New Roman" w:cs="Times New Roman"/>
          <w:sz w:val="24"/>
          <w:szCs w:val="24"/>
        </w:rPr>
        <w:t>te izvorima prikazuje podatke o visini sredstava utvrđenih iz</w:t>
      </w:r>
      <w:r w:rsidR="00D369ED">
        <w:rPr>
          <w:rFonts w:ascii="Times New Roman" w:hAnsi="Times New Roman" w:cs="Times New Roman"/>
          <w:sz w:val="24"/>
          <w:szCs w:val="24"/>
        </w:rPr>
        <w:t xml:space="preserve">vornim planom </w:t>
      </w:r>
      <w:r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D369ED">
        <w:rPr>
          <w:rFonts w:ascii="Times New Roman" w:hAnsi="Times New Roman" w:cs="Times New Roman"/>
          <w:sz w:val="24"/>
          <w:szCs w:val="24"/>
        </w:rPr>
        <w:t>proračuna</w:t>
      </w:r>
      <w:r w:rsidRPr="00AD2FC0">
        <w:rPr>
          <w:rFonts w:ascii="Times New Roman" w:hAnsi="Times New Roman" w:cs="Times New Roman"/>
          <w:sz w:val="24"/>
          <w:szCs w:val="24"/>
        </w:rPr>
        <w:t>. Obrazloženje posebnog dijela sadrži obrazloženje izvršenja programa koji se daje kroz obrazloženje izvršenja aktivnosti i projekata zajedno s ciljevima koji su ostvareni provedbom programa i pokazateljima uspješnosti realizacije tih istih ciljeva koji se sastoje od pokazatelja učinka i pokazatelja rezultata.</w:t>
      </w:r>
    </w:p>
    <w:p w:rsidR="00D360FD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 xml:space="preserve">Gledajući posebni dio izvještaja vidljivo je kako je izvršenje financijskog plana prikazano prema djelatnosti, programima, aktivnostima, projektima i izvorima financiranja. Svaki program i aktivnost za svoju glavnu svrhu ima podizanje kvalitete poslovanja Škole. Od svih navedenih programa i aktivnosti valja istaknuti nekoliko značajnih </w:t>
      </w:r>
      <w:r w:rsidR="00D369ED">
        <w:rPr>
          <w:rFonts w:ascii="Times New Roman" w:hAnsi="Times New Roman" w:cs="Times New Roman"/>
          <w:sz w:val="24"/>
          <w:szCs w:val="24"/>
        </w:rPr>
        <w:t>u 2025</w:t>
      </w:r>
      <w:r w:rsidRPr="00AD2FC0">
        <w:rPr>
          <w:rFonts w:ascii="Times New Roman" w:hAnsi="Times New Roman" w:cs="Times New Roman"/>
          <w:sz w:val="24"/>
          <w:szCs w:val="24"/>
        </w:rPr>
        <w:t>. godini:</w:t>
      </w:r>
    </w:p>
    <w:p w:rsidR="00360A69" w:rsidRPr="00AD2FC0" w:rsidRDefault="00360A69" w:rsidP="00D360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2FC0">
        <w:rPr>
          <w:rFonts w:ascii="Times New Roman" w:hAnsi="Times New Roman" w:cs="Times New Roman"/>
          <w:i/>
          <w:iCs/>
          <w:sz w:val="24"/>
          <w:szCs w:val="24"/>
        </w:rPr>
        <w:t>Prehrana za učenike</w:t>
      </w:r>
    </w:p>
    <w:p w:rsidR="00D360FD" w:rsidRPr="00AD2FC0" w:rsidRDefault="0005604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P</w:t>
      </w:r>
      <w:r w:rsidR="00D360FD" w:rsidRPr="00AD2FC0">
        <w:rPr>
          <w:rFonts w:ascii="Times New Roman" w:hAnsi="Times New Roman" w:cs="Times New Roman"/>
          <w:sz w:val="24"/>
          <w:szCs w:val="24"/>
        </w:rPr>
        <w:t>rogram dodatnog ulaganja u obrazovni sustav, financiran iz sredstva državnog proračuna kojim se osigurao besplatan obrok za svakog učenika. U našoj Školi u promatranom r</w:t>
      </w:r>
      <w:r w:rsidR="00D369ED">
        <w:rPr>
          <w:rFonts w:ascii="Times New Roman" w:hAnsi="Times New Roman" w:cs="Times New Roman"/>
          <w:sz w:val="24"/>
          <w:szCs w:val="24"/>
        </w:rPr>
        <w:t>azdoblju ostvareno je 18 063,83</w:t>
      </w:r>
      <w:r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EUR prihoda kojim se financirao trošak obroka za svakog učenika tijekom svakog dana nastave. </w:t>
      </w:r>
    </w:p>
    <w:p w:rsidR="00360A69" w:rsidRPr="00AD2FC0" w:rsidRDefault="00360A69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2FC0">
        <w:rPr>
          <w:rFonts w:ascii="Times New Roman" w:hAnsi="Times New Roman" w:cs="Times New Roman"/>
          <w:i/>
          <w:iCs/>
          <w:sz w:val="24"/>
          <w:szCs w:val="24"/>
        </w:rPr>
        <w:t>Javne potrebe u prosvjeti</w:t>
      </w:r>
    </w:p>
    <w:p w:rsidR="0005604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Program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i aktivnost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usmjeren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ka podizanju kvalitete i standarda osnovnoškolskog obrazovanja. Financiran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360A69" w:rsidRPr="00AD2FC0">
        <w:rPr>
          <w:rFonts w:ascii="Times New Roman" w:hAnsi="Times New Roman" w:cs="Times New Roman"/>
          <w:sz w:val="24"/>
          <w:szCs w:val="24"/>
        </w:rPr>
        <w:t>su</w:t>
      </w:r>
      <w:r w:rsidRPr="00AD2FC0">
        <w:rPr>
          <w:rFonts w:ascii="Times New Roman" w:hAnsi="Times New Roman" w:cs="Times New Roman"/>
          <w:sz w:val="24"/>
          <w:szCs w:val="24"/>
        </w:rPr>
        <w:t xml:space="preserve"> sredstvima županij</w:t>
      </w:r>
      <w:r w:rsidR="00874A06" w:rsidRPr="00AD2FC0">
        <w:rPr>
          <w:rFonts w:ascii="Times New Roman" w:hAnsi="Times New Roman" w:cs="Times New Roman"/>
          <w:sz w:val="24"/>
          <w:szCs w:val="24"/>
        </w:rPr>
        <w:t>skog p</w:t>
      </w:r>
      <w:r w:rsidR="00D369ED">
        <w:rPr>
          <w:rFonts w:ascii="Times New Roman" w:hAnsi="Times New Roman" w:cs="Times New Roman"/>
          <w:sz w:val="24"/>
          <w:szCs w:val="24"/>
        </w:rPr>
        <w:t>roračuna u iznosu od 1 300</w:t>
      </w:r>
      <w:r w:rsidR="0005604D" w:rsidRPr="00AD2FC0">
        <w:rPr>
          <w:rFonts w:ascii="Times New Roman" w:hAnsi="Times New Roman" w:cs="Times New Roman"/>
          <w:sz w:val="24"/>
          <w:szCs w:val="24"/>
        </w:rPr>
        <w:t>,00</w:t>
      </w:r>
      <w:r w:rsidR="00AD2FC0">
        <w:rPr>
          <w:rFonts w:ascii="Times New Roman" w:hAnsi="Times New Roman" w:cs="Times New Roman"/>
          <w:sz w:val="24"/>
          <w:szCs w:val="24"/>
        </w:rPr>
        <w:t xml:space="preserve"> eura</w:t>
      </w:r>
      <w:r w:rsidR="00D369ED">
        <w:rPr>
          <w:rFonts w:ascii="Times New Roman" w:hAnsi="Times New Roman" w:cs="Times New Roman"/>
          <w:sz w:val="24"/>
          <w:szCs w:val="24"/>
        </w:rPr>
        <w:t xml:space="preserve"> </w:t>
      </w:r>
      <w:r w:rsidRPr="00AD2FC0">
        <w:rPr>
          <w:rFonts w:ascii="Times New Roman" w:hAnsi="Times New Roman" w:cs="Times New Roman"/>
          <w:sz w:val="24"/>
          <w:szCs w:val="24"/>
        </w:rPr>
        <w:t>u potpunosti</w:t>
      </w:r>
      <w:r w:rsidR="00CE3302">
        <w:rPr>
          <w:rFonts w:ascii="Times New Roman" w:hAnsi="Times New Roman" w:cs="Times New Roman"/>
          <w:sz w:val="24"/>
          <w:szCs w:val="24"/>
        </w:rPr>
        <w:t xml:space="preserve"> u skladu s financijskim planom. Sredstva su raspoređena u četiri različite kategorije</w:t>
      </w:r>
      <w:r w:rsidRPr="00AD2FC0">
        <w:rPr>
          <w:rFonts w:ascii="Times New Roman" w:hAnsi="Times New Roman" w:cs="Times New Roman"/>
          <w:sz w:val="24"/>
          <w:szCs w:val="24"/>
        </w:rPr>
        <w:t xml:space="preserve">, a to su: </w:t>
      </w:r>
      <w:r w:rsidR="00AD2FC0">
        <w:rPr>
          <w:rFonts w:ascii="Times New Roman" w:hAnsi="Times New Roman" w:cs="Times New Roman"/>
          <w:i/>
          <w:iCs/>
          <w:sz w:val="24"/>
          <w:szCs w:val="24"/>
        </w:rPr>
        <w:t>Škole za Afriku, U</w:t>
      </w:r>
      <w:r w:rsidRPr="00AD2FC0">
        <w:rPr>
          <w:rFonts w:ascii="Times New Roman" w:hAnsi="Times New Roman" w:cs="Times New Roman"/>
          <w:i/>
          <w:iCs/>
          <w:sz w:val="24"/>
          <w:szCs w:val="24"/>
        </w:rPr>
        <w:t>čenička zadruga</w:t>
      </w:r>
      <w:r w:rsidR="0005604D" w:rsidRPr="00AD2FC0">
        <w:rPr>
          <w:rFonts w:ascii="Times New Roman" w:hAnsi="Times New Roman" w:cs="Times New Roman"/>
          <w:i/>
          <w:iCs/>
          <w:sz w:val="24"/>
          <w:szCs w:val="24"/>
        </w:rPr>
        <w:t xml:space="preserve"> ''Bura''</w:t>
      </w:r>
      <w:r w:rsidRPr="00AD2FC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E3302">
        <w:rPr>
          <w:rFonts w:ascii="Times New Roman" w:hAnsi="Times New Roman" w:cs="Times New Roman"/>
          <w:i/>
          <w:iCs/>
          <w:sz w:val="24"/>
          <w:szCs w:val="24"/>
        </w:rPr>
        <w:t>Graditeljstvo i NTC-Učenje kroz igru.</w:t>
      </w:r>
      <w:r w:rsidR="00360A69" w:rsidRPr="00AD2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50DF8" w:rsidRPr="00AD2FC0" w:rsidRDefault="00550DF8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računovodstva:</w:t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Ravnatelj:</w:t>
      </w:r>
    </w:p>
    <w:p w:rsidR="00D360FD" w:rsidRPr="00AD2FC0" w:rsidRDefault="00D360FD" w:rsidP="00D360FD">
      <w:pPr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360FD" w:rsidRPr="00AD2FC0" w:rsidRDefault="00D360FD" w:rsidP="00D360FD">
      <w:pPr>
        <w:suppressAutoHyphens/>
        <w:autoSpaceDN w:val="0"/>
        <w:spacing w:after="0" w:line="240" w:lineRule="auto"/>
        <w:ind w:firstLine="360"/>
        <w:textAlignment w:val="baseline"/>
        <w:rPr>
          <w:rFonts w:ascii="Arial" w:eastAsia="Times New Roman" w:hAnsi="Arial" w:cs="Arial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2DA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Natalija Perica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bacc.oec</w:t>
      </w:r>
      <w:proofErr w:type="spellEnd"/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D22DA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Željko Modrić,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2DA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360FD" w:rsidRPr="00AD2FC0" w:rsidRDefault="00D360FD" w:rsidP="00D360FD"/>
    <w:p w:rsidR="001053D1" w:rsidRDefault="001053D1"/>
    <w:sectPr w:rsidR="001053D1" w:rsidSect="00874A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07766"/>
    <w:multiLevelType w:val="hybridMultilevel"/>
    <w:tmpl w:val="33966DA4"/>
    <w:lvl w:ilvl="0" w:tplc="EED02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D"/>
    <w:rsid w:val="0005604D"/>
    <w:rsid w:val="001053D1"/>
    <w:rsid w:val="002D22DA"/>
    <w:rsid w:val="00360A69"/>
    <w:rsid w:val="004F4860"/>
    <w:rsid w:val="00550DF8"/>
    <w:rsid w:val="00612006"/>
    <w:rsid w:val="0074419F"/>
    <w:rsid w:val="00874A06"/>
    <w:rsid w:val="00AD2FC0"/>
    <w:rsid w:val="00BF53DD"/>
    <w:rsid w:val="00CB0E76"/>
    <w:rsid w:val="00CE3302"/>
    <w:rsid w:val="00D360FD"/>
    <w:rsid w:val="00D369ED"/>
    <w:rsid w:val="00D60888"/>
    <w:rsid w:val="00E329B9"/>
    <w:rsid w:val="00EE5CBB"/>
    <w:rsid w:val="00F219B5"/>
    <w:rsid w:val="00F26D76"/>
    <w:rsid w:val="00F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2759-8985-4A6A-84D4-8302E5CB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F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0FD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cp:lastPrinted>2025-07-11T08:10:00Z</cp:lastPrinted>
  <dcterms:created xsi:type="dcterms:W3CDTF">2025-07-11T09:25:00Z</dcterms:created>
  <dcterms:modified xsi:type="dcterms:W3CDTF">2025-07-14T07:53:00Z</dcterms:modified>
</cp:coreProperties>
</file>